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22" w:rsidRPr="00C17B1D" w:rsidRDefault="00DD0A2E" w:rsidP="00827622">
      <w:pPr>
        <w:rPr>
          <w:rStyle w:val="authors"/>
          <w:rFonts w:ascii="Arial" w:hAnsi="Arial" w:cs="Arial"/>
          <w:b/>
          <w:color w:val="212121"/>
          <w:sz w:val="24"/>
          <w:szCs w:val="15"/>
          <w:lang w:val="en"/>
        </w:rPr>
      </w:pPr>
      <w:r w:rsidRPr="00C17B1D">
        <w:rPr>
          <w:rStyle w:val="authors"/>
          <w:rFonts w:ascii="Arial" w:hAnsi="Arial" w:cs="Arial"/>
          <w:b/>
          <w:color w:val="212121"/>
          <w:sz w:val="24"/>
          <w:szCs w:val="15"/>
          <w:lang w:val="en"/>
        </w:rPr>
        <w:t>Manuscripts resulting from CSMR services</w:t>
      </w:r>
      <w:r w:rsidR="00906EEA" w:rsidRPr="00C17B1D">
        <w:rPr>
          <w:rStyle w:val="authors"/>
          <w:rFonts w:ascii="Arial" w:hAnsi="Arial" w:cs="Arial"/>
          <w:b/>
          <w:color w:val="212121"/>
          <w:sz w:val="24"/>
          <w:szCs w:val="15"/>
          <w:lang w:val="en"/>
        </w:rPr>
        <w:t xml:space="preserve"> (not all-inclusive)</w:t>
      </w:r>
      <w:r w:rsidRPr="00C17B1D">
        <w:rPr>
          <w:rStyle w:val="authors"/>
          <w:rFonts w:ascii="Arial" w:hAnsi="Arial" w:cs="Arial"/>
          <w:b/>
          <w:color w:val="212121"/>
          <w:sz w:val="24"/>
          <w:szCs w:val="15"/>
          <w:lang w:val="en"/>
        </w:rPr>
        <w:t>:</w:t>
      </w:r>
    </w:p>
    <w:p w:rsidR="007F7787" w:rsidRPr="00AB1D65" w:rsidRDefault="007F7787" w:rsidP="00AB1D65">
      <w:pPr>
        <w:pStyle w:val="ListParagraph"/>
        <w:numPr>
          <w:ilvl w:val="0"/>
          <w:numId w:val="1"/>
        </w:numPr>
        <w:rPr>
          <w:rStyle w:val="authors"/>
          <w:rFonts w:ascii="Arial" w:hAnsi="Arial" w:cs="Arial"/>
          <w:color w:val="212121"/>
          <w:sz w:val="20"/>
          <w:szCs w:val="15"/>
          <w:lang w:val="en"/>
        </w:rPr>
      </w:pPr>
      <w:r w:rsidRPr="007F7787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Chen F, Sarver DC, Saqib M, Zhou M, Aja S, Seldin MM, Wong GW. </w:t>
      </w:r>
      <w:hyperlink r:id="rId5" w:history="1">
        <w:r w:rsidR="00AB1D65" w:rsidRPr="00AB1D65">
          <w:rPr>
            <w:rStyle w:val="Hyperlink"/>
            <w:rFonts w:ascii="Arial" w:hAnsi="Arial" w:cs="Arial"/>
          </w:rPr>
          <w:t>CTRP13 ablation improves systemic glucose and lipid metabolism - PubMed (nih.gov)</w:t>
        </w:r>
      </w:hyperlink>
      <w:r w:rsidR="00AB1D65">
        <w:t>.</w:t>
      </w:r>
      <w:r w:rsidRPr="00AB1D65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Mol </w:t>
      </w:r>
      <w:proofErr w:type="spellStart"/>
      <w:r w:rsidRPr="00AB1D65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Metab</w:t>
      </w:r>
      <w:proofErr w:type="spellEnd"/>
      <w:r w:rsidRPr="00AB1D65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. 2023 </w:t>
      </w:r>
      <w:proofErr w:type="gramStart"/>
      <w:r w:rsidRPr="00AB1D65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Dec;78:101824</w:t>
      </w:r>
      <w:proofErr w:type="gramEnd"/>
      <w:r w:rsidRPr="00AB1D65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AB1D65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AB1D65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: 10.1016/j.molmet.2023.101824. Epub 2023 Oct 14. PMID: 37844630</w:t>
      </w:r>
    </w:p>
    <w:p w:rsidR="00AB1D65" w:rsidRPr="00AB1D65" w:rsidRDefault="007F7787" w:rsidP="00AB1D65">
      <w:pPr>
        <w:pStyle w:val="ListParagraph"/>
        <w:numPr>
          <w:ilvl w:val="0"/>
          <w:numId w:val="1"/>
        </w:numPr>
        <w:rPr>
          <w:rStyle w:val="authors"/>
          <w:rFonts w:ascii="Arial" w:hAnsi="Arial" w:cs="Arial"/>
          <w:color w:val="212121"/>
          <w:sz w:val="20"/>
          <w:szCs w:val="15"/>
          <w:lang w:val="en"/>
        </w:rPr>
      </w:pPr>
      <w:r w:rsidRPr="007F7787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Chen F, Sarver DC, Saqib M, Velez LM, Aja S, Seldin MM, Wong GW.</w:t>
      </w:r>
      <w:r w:rsidR="007E286E" w:rsidRPr="007E286E">
        <w:t xml:space="preserve"> </w:t>
      </w:r>
      <w:hyperlink r:id="rId6" w:history="1">
        <w:r w:rsidR="007E286E" w:rsidRPr="007E286E">
          <w:rPr>
            <w:rStyle w:val="Hyperlink"/>
            <w:rFonts w:ascii="Arial" w:hAnsi="Arial" w:cs="Arial"/>
          </w:rPr>
          <w:t>Loss of CTRP10 results in female obesity with preserved metabolic health - PubMed (nih.gov)</w:t>
        </w:r>
      </w:hyperlink>
      <w:r w:rsidR="00AB1D65">
        <w:t xml:space="preserve">. </w:t>
      </w:r>
      <w:proofErr w:type="spellStart"/>
      <w:r w:rsidRPr="007F7787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bioRxiv</w:t>
      </w:r>
      <w:proofErr w:type="spellEnd"/>
      <w:r w:rsidRPr="007F7787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[Preprint]. 2023 Nov 4:2023.11.01.565163. </w:t>
      </w:r>
      <w:proofErr w:type="spellStart"/>
      <w:r w:rsidRPr="007F7787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7F7787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: 10.1101/2023.11.01.565163.</w:t>
      </w:r>
      <w:r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7F7787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PMID: 37961647</w:t>
      </w:r>
    </w:p>
    <w:p w:rsidR="00AB1D65" w:rsidRPr="00AB1D65" w:rsidRDefault="007F7787" w:rsidP="00AB1D65">
      <w:pPr>
        <w:pStyle w:val="ListParagraph"/>
        <w:numPr>
          <w:ilvl w:val="0"/>
          <w:numId w:val="1"/>
        </w:numPr>
        <w:rPr>
          <w:rStyle w:val="authors"/>
          <w:rFonts w:ascii="Arial" w:hAnsi="Arial" w:cs="Arial"/>
          <w:color w:val="212121"/>
          <w:sz w:val="20"/>
          <w:szCs w:val="15"/>
          <w:lang w:val="en"/>
        </w:rPr>
      </w:pPr>
      <w:r w:rsidRPr="007F7787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Kim SP, Seward AH, Garcia-Diaz J, </w:t>
      </w:r>
      <w:proofErr w:type="spellStart"/>
      <w:r w:rsidRPr="007F7787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Alekos</w:t>
      </w:r>
      <w:proofErr w:type="spellEnd"/>
      <w:r w:rsidRPr="007F7787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N, Gould NR, Aja S, Stains JP, Wolfgang MJ, Riddle RC. </w:t>
      </w:r>
      <w:hyperlink r:id="rId7" w:history="1">
        <w:r w:rsidR="00AB1D65" w:rsidRPr="00AB1D65">
          <w:rPr>
            <w:rStyle w:val="Hyperlink"/>
            <w:rFonts w:ascii="Arial" w:hAnsi="Arial" w:cs="Arial"/>
          </w:rPr>
          <w:t>Peroxisome proliferator activated receptor-γ in osteoblasts controls bone formation and fat mass by regulating sclerostin expression - PubMed (nih.gov)</w:t>
        </w:r>
      </w:hyperlink>
      <w:r w:rsidR="00AB1D65">
        <w:t xml:space="preserve">. </w:t>
      </w:r>
      <w:r w:rsidRPr="007F7787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Peroxisome proliferator activated receptor-γ in osteoblasts controls bone formation and fat mass by regulating sclerostin expression. </w:t>
      </w:r>
      <w:proofErr w:type="spellStart"/>
      <w:r w:rsidRPr="007F7787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iScience</w:t>
      </w:r>
      <w:proofErr w:type="spellEnd"/>
      <w:r w:rsidRPr="007F7787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. 2023 May 29;26(7):106999. </w:t>
      </w:r>
      <w:proofErr w:type="spellStart"/>
      <w:r w:rsidRPr="007F7787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7F7787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: 10.1016/j.isci.2023.106999. </w:t>
      </w:r>
      <w:proofErr w:type="spellStart"/>
      <w:r w:rsidRPr="007F7787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eCollection</w:t>
      </w:r>
      <w:proofErr w:type="spellEnd"/>
      <w:r w:rsidRPr="007F7787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2023 Jul 21.</w:t>
      </w:r>
      <w:r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7F7787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PMID: 37534168</w:t>
      </w:r>
    </w:p>
    <w:p w:rsidR="00F41290" w:rsidRPr="00C17B1D" w:rsidRDefault="00F41290" w:rsidP="00AC74B5">
      <w:pPr>
        <w:pStyle w:val="ListParagraph"/>
        <w:numPr>
          <w:ilvl w:val="0"/>
          <w:numId w:val="1"/>
        </w:numPr>
        <w:rPr>
          <w:rStyle w:val="authors"/>
          <w:rFonts w:ascii="Arial" w:hAnsi="Arial" w:cs="Arial"/>
          <w:color w:val="212121"/>
          <w:sz w:val="20"/>
          <w:szCs w:val="15"/>
          <w:lang w:val="en"/>
        </w:rPr>
      </w:pP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Arwood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ML, Sun IH, Patel CH, Sun IM, Oh MH, Bettencourt IA, Claiborne MD, Chan-Li Y, Zhao L,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Waickman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AT,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Mavrothalassitis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O, Wen J, Aja S, Powell JD. </w:t>
      </w:r>
      <w:hyperlink r:id="rId8" w:history="1">
        <w:r w:rsidR="00B267D0" w:rsidRPr="00C17B1D">
          <w:rPr>
            <w:rStyle w:val="Hyperlink"/>
            <w:rFonts w:ascii="Arial" w:hAnsi="Arial" w:cs="Arial"/>
            <w:u w:val="none"/>
          </w:rPr>
          <w:t>Serendipitous Discovery of T Cell-Produced KLK1b22 as a Regulator of Systemic Metabolism - PubMed (nih.gov)</w:t>
        </w:r>
      </w:hyperlink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Immunohorizons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. 2023 Jun 1;7(6):493-507.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: 10.4049/immunohorizons.2300016. PMID: 37358498</w:t>
      </w:r>
      <w:r w:rsidR="001B7280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. PMC</w:t>
      </w:r>
      <w:r w:rsidR="002B7548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ID</w:t>
      </w:r>
      <w:r w:rsidR="001B7280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not yet on file.</w:t>
      </w:r>
    </w:p>
    <w:p w:rsidR="00F41290" w:rsidRPr="00C17B1D" w:rsidRDefault="00F41290" w:rsidP="00AC74B5">
      <w:pPr>
        <w:pStyle w:val="ListParagraph"/>
        <w:numPr>
          <w:ilvl w:val="0"/>
          <w:numId w:val="1"/>
        </w:numPr>
        <w:rPr>
          <w:rStyle w:val="authors"/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Sarver DC, Xu C, Rodriguez S, Aja S, Jaffe AE, Gao FJ, Delannoy M,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Periasamy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M,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Kazuki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Y,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Oshimura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M, </w:t>
      </w:r>
      <w:bookmarkStart w:id="0" w:name="_GoBack"/>
      <w:bookmarkEnd w:id="0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Reeves RH, Wong GW. </w:t>
      </w:r>
      <w:hyperlink r:id="rId9" w:history="1">
        <w:r w:rsidRPr="00C17B1D">
          <w:rPr>
            <w:rStyle w:val="Hyperlink"/>
            <w:rFonts w:ascii="Arial" w:hAnsi="Arial" w:cs="Arial"/>
            <w:u w:val="none"/>
          </w:rPr>
          <w:t>Hypermetabolism in mice carrying a near-complete human chromosome 21 - PubMed (nih.gov)</w:t>
        </w:r>
      </w:hyperlink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Elife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. 2023 May 30;</w:t>
      </w:r>
      <w:proofErr w:type="gram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12:e</w:t>
      </w:r>
      <w:proofErr w:type="gram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86023.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: 10.7554/eLife.86023. PMID: 37249575</w:t>
      </w:r>
      <w:r w:rsidR="00AC74B5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="002B7548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PMCID: </w:t>
      </w:r>
      <w:r w:rsidR="00D710C5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PMC10229126.</w:t>
      </w:r>
    </w:p>
    <w:p w:rsidR="00F41290" w:rsidRPr="00C17B1D" w:rsidRDefault="00F41290" w:rsidP="00AC74B5">
      <w:pPr>
        <w:pStyle w:val="ListParagraph"/>
        <w:numPr>
          <w:ilvl w:val="0"/>
          <w:numId w:val="1"/>
        </w:numPr>
        <w:rPr>
          <w:rStyle w:val="authors"/>
          <w:rFonts w:ascii="Arial" w:hAnsi="Arial" w:cs="Arial"/>
          <w:color w:val="212121"/>
          <w:sz w:val="20"/>
          <w:szCs w:val="15"/>
          <w:lang w:val="en"/>
        </w:rPr>
      </w:pP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Alekos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NS, Kushwaha P, Kim SP, Li Z,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Abood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A,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Dirckx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N, Aja S, Kodama J, Garcia-Diaz JG,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Otsuru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S,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Rendina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-Ruedy E, Wolfgang MJ, Riddle RC. </w:t>
      </w:r>
      <w:hyperlink r:id="rId10" w:history="1">
        <w:r w:rsidRPr="00C17B1D">
          <w:rPr>
            <w:rStyle w:val="Hyperlink"/>
            <w:rFonts w:ascii="Arial" w:hAnsi="Arial" w:cs="Arial"/>
            <w:u w:val="none"/>
          </w:rPr>
          <w:t>Mitochondrial β-oxidation of adipose-derived fatty acids by osteoblasts fuels parathyroid hormone-induced bone formation - PubMed (nih.gov)</w:t>
        </w:r>
      </w:hyperlink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. JCI Insight. 2023 Mar 22;8(6</w:t>
      </w:r>
      <w:proofErr w:type="gram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):e</w:t>
      </w:r>
      <w:proofErr w:type="gram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165604.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: 10.1172/jci.insight.165604. PMID: 36729662</w:t>
      </w:r>
      <w:r w:rsidR="00AC74B5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="002B7548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PMCID: </w:t>
      </w:r>
      <w:r w:rsidR="001B7280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PMC10070112</w:t>
      </w:r>
    </w:p>
    <w:p w:rsidR="00F41290" w:rsidRPr="00C17B1D" w:rsidRDefault="00F41290" w:rsidP="00AC74B5">
      <w:pPr>
        <w:pStyle w:val="ListParagraph"/>
        <w:numPr>
          <w:ilvl w:val="0"/>
          <w:numId w:val="1"/>
        </w:numPr>
        <w:rPr>
          <w:rStyle w:val="authors"/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Sarver DC, Xu C, Velez LM, Aja S, Jaffe AE, Seldin MM, Reeves RH, Wong GW. </w:t>
      </w:r>
      <w:hyperlink r:id="rId11" w:history="1">
        <w:r w:rsidRPr="00C17B1D">
          <w:rPr>
            <w:rStyle w:val="Hyperlink"/>
            <w:rFonts w:ascii="Arial" w:hAnsi="Arial" w:cs="Arial"/>
            <w:u w:val="none"/>
          </w:rPr>
          <w:t>Dysregulated systemic metabolism in a Down syndrome mouse model - PubMed (nih.gov)</w:t>
        </w:r>
      </w:hyperlink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. Mol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Metab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. 2023 </w:t>
      </w:r>
      <w:proofErr w:type="gram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Feb;68:101666</w:t>
      </w:r>
      <w:proofErr w:type="gram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: 10.1016/j.molmet.2022.101666.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Epub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2022 Dec 29. PMID: 36587842</w:t>
      </w:r>
      <w:r w:rsidR="00AC74B5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.</w:t>
      </w:r>
      <w:r w:rsidR="001B7280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="002B7548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PMCID: </w:t>
      </w:r>
      <w:r w:rsidR="001B7280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PMC9841171.</w:t>
      </w:r>
    </w:p>
    <w:p w:rsidR="00F41290" w:rsidRPr="00C17B1D" w:rsidRDefault="00F41290" w:rsidP="00AC74B5">
      <w:pPr>
        <w:pStyle w:val="ListParagraph"/>
        <w:numPr>
          <w:ilvl w:val="0"/>
          <w:numId w:val="1"/>
        </w:numPr>
        <w:rPr>
          <w:rStyle w:val="authors"/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Sarver DC, Xu C,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Carreno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D,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Arking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A,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Terrillion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CE, Aja S, Wong GW. </w:t>
      </w:r>
      <w:hyperlink r:id="rId12" w:history="1">
        <w:r w:rsidRPr="00C17B1D">
          <w:rPr>
            <w:rStyle w:val="Hyperlink"/>
            <w:rFonts w:ascii="Arial" w:hAnsi="Arial" w:cs="Arial"/>
            <w:u w:val="none"/>
          </w:rPr>
          <w:t>CTRP11 contributes modestly to systemic metabolism and energy balance - PubMed (nih.gov)</w:t>
        </w:r>
      </w:hyperlink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. FASEB J. 2022 Jun;36(6</w:t>
      </w:r>
      <w:proofErr w:type="gram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):e</w:t>
      </w:r>
      <w:proofErr w:type="gram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22347.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: 10.1096/fj.202200189RR. PMID: 35579659</w:t>
      </w:r>
      <w:r w:rsidR="001B7280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="002B7548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PMCID: </w:t>
      </w:r>
      <w:r w:rsidR="001B7280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PMC9164276.</w:t>
      </w:r>
    </w:p>
    <w:p w:rsidR="005F3713" w:rsidRPr="00C17B1D" w:rsidRDefault="00F41290" w:rsidP="00AC74B5">
      <w:pPr>
        <w:pStyle w:val="ListParagraph"/>
        <w:numPr>
          <w:ilvl w:val="0"/>
          <w:numId w:val="1"/>
        </w:numPr>
        <w:rPr>
          <w:rStyle w:val="authors"/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Sarver DC, Xu C, Aja S, Wong GW. </w:t>
      </w:r>
      <w:hyperlink r:id="rId13" w:history="1">
        <w:r w:rsidRPr="00C17B1D">
          <w:rPr>
            <w:rStyle w:val="Hyperlink"/>
            <w:rFonts w:ascii="Arial" w:hAnsi="Arial" w:cs="Arial"/>
            <w:u w:val="none"/>
          </w:rPr>
          <w:t>CTRP14 inactivation alters physical activity and food intake response to fasting and refeeding - PubMed (nih.gov)</w:t>
        </w:r>
      </w:hyperlink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. Am J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Physiol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Endocrinol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Metab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. 2022 Jun 1;322(6</w:t>
      </w:r>
      <w:proofErr w:type="gram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):E</w:t>
      </w:r>
      <w:proofErr w:type="gram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480-E493.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: 10.1152/ajpendo.00002.2022.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Epub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2022 Apr 11. PMID: 35403439</w:t>
      </w:r>
      <w:r w:rsidR="001B7280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="002B7548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PMCID: </w:t>
      </w:r>
      <w:r w:rsidR="001B7280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PMC9126218.</w:t>
      </w:r>
    </w:p>
    <w:p w:rsidR="005F3713" w:rsidRPr="00C17B1D" w:rsidRDefault="00F41290" w:rsidP="00AC74B5">
      <w:pPr>
        <w:pStyle w:val="ListParagraph"/>
        <w:numPr>
          <w:ilvl w:val="0"/>
          <w:numId w:val="1"/>
        </w:numPr>
        <w:rPr>
          <w:rStyle w:val="authors"/>
          <w:rFonts w:ascii="Arial" w:hAnsi="Arial" w:cs="Arial"/>
          <w:color w:val="212121"/>
          <w:sz w:val="20"/>
          <w:szCs w:val="15"/>
          <w:lang w:val="en"/>
        </w:rPr>
      </w:pP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Fulzele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K, Riddle RC, DiGirolamo DJ, Cao X, Wan C, Chen D,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Faugere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MC, Aja S, Hussain MA,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Brüning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JC, Clemens TL. </w:t>
      </w:r>
      <w:hyperlink r:id="rId14" w:history="1">
        <w:r w:rsidRPr="00C17B1D">
          <w:rPr>
            <w:rStyle w:val="Hyperlink"/>
            <w:rFonts w:ascii="Arial" w:hAnsi="Arial" w:cs="Arial"/>
            <w:u w:val="none"/>
          </w:rPr>
          <w:t>Insulin Receptor Signaling in Osteoblasts Regulates Postnatal Bone Acquisition and Body Composition - PubMed (nih.gov)</w:t>
        </w:r>
      </w:hyperlink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. Cell. 2022 Feb 17;185(4):746.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: 10.1016/j.cell.2022.01.016. PMID: 35180388</w:t>
      </w:r>
      <w:r w:rsidR="001B7280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="002B7548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PMCID: </w:t>
      </w:r>
      <w:r w:rsidR="001B7280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PMC8959017.</w:t>
      </w:r>
    </w:p>
    <w:p w:rsidR="005F3713" w:rsidRPr="00C17B1D" w:rsidRDefault="005F3713" w:rsidP="00AC74B5">
      <w:pPr>
        <w:pStyle w:val="ListParagraph"/>
        <w:numPr>
          <w:ilvl w:val="0"/>
          <w:numId w:val="1"/>
        </w:numPr>
        <w:rPr>
          <w:rStyle w:val="authors"/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Wang Q, Hernández-Ochoa EO, Viswanathan MC, Blum ID, Do DC, Granger JM, Murphy KR, Wei AC, Aja S, Liu N,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Antonescu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CM,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Florea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LD, Talbot CC Jr, Mohr D, Wagner KR,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Regot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S,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Lovering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RM, Gao P,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Bianchet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MA, Wu MN,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Cammarato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A, Schneider MF,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Bever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GS, Anderson ME. </w:t>
      </w:r>
      <w:hyperlink r:id="rId15" w:history="1">
        <w:r w:rsidR="00F41290" w:rsidRPr="00C17B1D">
          <w:rPr>
            <w:rStyle w:val="Hyperlink"/>
            <w:rFonts w:ascii="Arial" w:hAnsi="Arial" w:cs="Arial"/>
            <w:u w:val="none"/>
          </w:rPr>
          <w:t>CaMKII oxidation is a critical performance/disease trade-off acquired at the dawn of vertebrate evolution - PubMed (nih.gov)</w:t>
        </w:r>
      </w:hyperlink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. Nat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Commun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. 2021 May 26;12(1):3175.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: 10.1038/s41467-021-23549-3. PMID: 34039988</w:t>
      </w:r>
      <w:r w:rsidR="001B7280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="002B7548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PMCID: </w:t>
      </w:r>
      <w:r w:rsidR="001B7280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PMC8155201.</w:t>
      </w:r>
    </w:p>
    <w:p w:rsidR="005F3713" w:rsidRPr="00C17B1D" w:rsidRDefault="005F3713" w:rsidP="00AC74B5">
      <w:pPr>
        <w:pStyle w:val="ListParagraph"/>
        <w:numPr>
          <w:ilvl w:val="0"/>
          <w:numId w:val="1"/>
        </w:numPr>
        <w:rPr>
          <w:rStyle w:val="authors"/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Sarver DC, Stewart AN, Rodriguez S, Little HC, Aja S, Wong GW. </w:t>
      </w:r>
      <w:hyperlink r:id="rId16" w:history="1">
        <w:r w:rsidRPr="00C17B1D">
          <w:rPr>
            <w:rStyle w:val="Hyperlink"/>
            <w:rFonts w:ascii="Arial" w:hAnsi="Arial" w:cs="Arial"/>
            <w:u w:val="none"/>
          </w:rPr>
          <w:t>Loss of CTRP4 alters adiposity and food intake behaviors in obese mice - PubMed (nih.gov)</w:t>
        </w:r>
      </w:hyperlink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. Am J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Physiol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Endocrinol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Metab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. 2020 Dec 1;319(6</w:t>
      </w:r>
      <w:proofErr w:type="gram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):E</w:t>
      </w:r>
      <w:proofErr w:type="gram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1084-E1100.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: 10.1152/ajpendo.00448.2020.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Epub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2020 Oct 5. PMID: 33017221</w:t>
      </w:r>
      <w:r w:rsidR="001B7280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="002B7548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PMCID: </w:t>
      </w:r>
      <w:r w:rsidR="001B7280"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PMC7792665.</w:t>
      </w:r>
    </w:p>
    <w:p w:rsidR="00B312DA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Yoo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S, Cha D, Kim S, Jiang L, Cooke P,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Adebesin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M, Wolfe A, Riddle R, Aja S,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Blackshaw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S. </w:t>
      </w:r>
      <w:hyperlink r:id="rId17" w:history="1">
        <w:proofErr w:type="spellStart"/>
        <w:r w:rsidR="00FA2E31" w:rsidRPr="00C17B1D">
          <w:rPr>
            <w:rStyle w:val="Hyperlink"/>
            <w:rFonts w:ascii="Arial" w:hAnsi="Arial" w:cs="Arial"/>
            <w:u w:val="none"/>
          </w:rPr>
          <w:t>Tanycyte</w:t>
        </w:r>
        <w:proofErr w:type="spellEnd"/>
        <w:r w:rsidR="00FA2E31" w:rsidRPr="00C17B1D">
          <w:rPr>
            <w:rStyle w:val="Hyperlink"/>
            <w:rFonts w:ascii="Arial" w:hAnsi="Arial" w:cs="Arial"/>
            <w:u w:val="none"/>
          </w:rPr>
          <w:t xml:space="preserve"> ablation in the arcuate nucleus and median eminence increases obesity susceptibility by increasing body fat content in male mice - PubMed (nih.gov)</w:t>
        </w:r>
      </w:hyperlink>
      <w:r w:rsidR="00FA2E31" w:rsidRPr="00C17B1D">
        <w:rPr>
          <w:rFonts w:ascii="Arial" w:hAnsi="Arial" w:cs="Arial"/>
        </w:rPr>
        <w:t>.</w:t>
      </w:r>
      <w:r w:rsidR="00FA2E31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Glia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2020 Oct;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68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(10)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:1987-2000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10.1002/glia.23817. </w:t>
      </w:r>
      <w:proofErr w:type="spellStart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>Epub</w:t>
      </w:r>
      <w:proofErr w:type="spellEnd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 xml:space="preserve"> 2020 Mar 16.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32173924</w:t>
      </w:r>
      <w:r w:rsidR="002D1EDE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PMC7423758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Style w:val="pmcid"/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Jaiswal AK,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Sadasivam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M, Aja S, Hamad ARA.</w:t>
      </w:r>
      <w:r w:rsidR="00FA2E31" w:rsidRPr="00C17B1D">
        <w:rPr>
          <w:rFonts w:ascii="Arial" w:hAnsi="Arial" w:cs="Arial"/>
        </w:rPr>
        <w:t xml:space="preserve"> </w:t>
      </w:r>
      <w:hyperlink r:id="rId18" w:history="1">
        <w:r w:rsidR="00FA2E31" w:rsidRPr="00C17B1D">
          <w:rPr>
            <w:rStyle w:val="Hyperlink"/>
            <w:rFonts w:ascii="Arial" w:hAnsi="Arial" w:cs="Arial"/>
            <w:u w:val="none"/>
          </w:rPr>
          <w:t>Lack of Syndecan-1 produces significant alterations in whole-body composition, metabolism and glucose homeostasis in mice - PubMed (nih.gov)</w:t>
        </w:r>
      </w:hyperlink>
      <w:r w:rsidR="00FA2E31" w:rsidRPr="00C17B1D">
        <w:rPr>
          <w:rFonts w:ascii="Arial" w:hAnsi="Arial" w:cs="Arial"/>
        </w:rPr>
        <w:t>.</w:t>
      </w:r>
      <w:r w:rsidR="00FA2E31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World J Diabetes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2020 Apr 15;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11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(4)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:126-136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: 10.4239/</w:t>
      </w:r>
      <w:proofErr w:type="gram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wjd.v11.i</w:t>
      </w:r>
      <w:proofErr w:type="gram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4.126.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32313611</w:t>
      </w:r>
      <w:r w:rsidR="002D1EDE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PMC7156300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lastRenderedPageBreak/>
        <w:t xml:space="preserve">Lei X, Liu L,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Terrillion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CE,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Karuppagounder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SS,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Cisternas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P, Lay M, Martinelli DC, Aja S, Dong X, Pletnikov MV, Wong GW. </w:t>
      </w:r>
      <w:hyperlink r:id="rId19" w:history="1">
        <w:r w:rsidR="00FA2E31" w:rsidRPr="00C17B1D">
          <w:rPr>
            <w:rStyle w:val="Hyperlink"/>
            <w:rFonts w:ascii="Arial" w:hAnsi="Arial" w:cs="Arial"/>
            <w:u w:val="none"/>
          </w:rPr>
          <w:t xml:space="preserve">FAM19A1, a brain-enriched and metabolically responsive </w:t>
        </w:r>
        <w:proofErr w:type="spellStart"/>
        <w:r w:rsidR="00FA2E31" w:rsidRPr="00C17B1D">
          <w:rPr>
            <w:rStyle w:val="Hyperlink"/>
            <w:rFonts w:ascii="Arial" w:hAnsi="Arial" w:cs="Arial"/>
            <w:u w:val="none"/>
          </w:rPr>
          <w:t>neurokine</w:t>
        </w:r>
        <w:proofErr w:type="spellEnd"/>
        <w:r w:rsidR="00FA2E31" w:rsidRPr="00C17B1D">
          <w:rPr>
            <w:rStyle w:val="Hyperlink"/>
            <w:rFonts w:ascii="Arial" w:hAnsi="Arial" w:cs="Arial"/>
            <w:u w:val="none"/>
          </w:rPr>
          <w:t>, regulates food intake patterns and mouse behaviors - PubMed (nih.gov)</w:t>
        </w:r>
      </w:hyperlink>
      <w:r w:rsidR="00FA2E31" w:rsidRPr="00C17B1D">
        <w:rPr>
          <w:rFonts w:ascii="Arial" w:hAnsi="Arial" w:cs="Arial"/>
        </w:rPr>
        <w:t>.</w:t>
      </w:r>
      <w:r w:rsidR="00FA2E31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FASEB J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2019 Dec;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33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(12)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:14734-14747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10.1096/fj.201901232RR. </w:t>
      </w:r>
      <w:proofErr w:type="spellStart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>Epub</w:t>
      </w:r>
      <w:proofErr w:type="spellEnd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 xml:space="preserve"> 2019 Nov 5.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31689372</w:t>
      </w:r>
      <w:r w:rsidR="002D1EDE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PMC6894063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Jouroukhin Y,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Kageyama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Y,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Misheneva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V,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Shevelkin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A, Andrabi S,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Prandovszky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E, Yolken RH, Dawson VL, Dawson TM, Aja S,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Sesaki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H, Pletnikov MV. </w:t>
      </w:r>
      <w:hyperlink r:id="rId20" w:history="1">
        <w:r w:rsidR="00FA2E31" w:rsidRPr="00C17B1D">
          <w:rPr>
            <w:rStyle w:val="Hyperlink"/>
            <w:rFonts w:ascii="Arial" w:hAnsi="Arial" w:cs="Arial"/>
            <w:u w:val="none"/>
          </w:rPr>
          <w:t>DISC1 regulates lactate metabolism in astrocytes: implications for psychiatric disorders - PubMed (nih.gov)</w:t>
        </w:r>
      </w:hyperlink>
      <w:r w:rsidR="00FA2E31" w:rsidRPr="00C17B1D">
        <w:rPr>
          <w:rFonts w:ascii="Arial" w:hAnsi="Arial" w:cs="Arial"/>
        </w:rPr>
        <w:t xml:space="preserve">.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Transl</w:t>
      </w:r>
      <w:proofErr w:type="spellEnd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Psychiatry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2018 Apr 12;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8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(1)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:76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10.1038/s41398-018-0123-9.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29643356</w:t>
      </w:r>
      <w:r w:rsidR="002D1EDE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PMC5895599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Kim SP, Frey JL, Li Z, Kushwaha P,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Zoch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ML, Tomlinson RE, Da H, Aja S, Noh HL, Kim JK, Hussain MA,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Thorek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DLJ, Wolfgang MJ, Riddle RC. </w:t>
      </w:r>
      <w:hyperlink r:id="rId21" w:history="1">
        <w:r w:rsidR="00FA2E31" w:rsidRPr="00C17B1D">
          <w:rPr>
            <w:rStyle w:val="Hyperlink"/>
            <w:rFonts w:ascii="Arial" w:hAnsi="Arial" w:cs="Arial"/>
            <w:u w:val="none"/>
          </w:rPr>
          <w:t>Sclerostin influences body composition by regulating catabolic and anabolic metabolism in adipocytes - PubMed (nih.gov)</w:t>
        </w:r>
      </w:hyperlink>
      <w:r w:rsidR="00FA2E31" w:rsidRPr="00C17B1D">
        <w:rPr>
          <w:rFonts w:ascii="Arial" w:hAnsi="Arial" w:cs="Arial"/>
        </w:rPr>
        <w:t>.</w:t>
      </w:r>
      <w:r w:rsidR="00FA2E31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Proc Natl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Acad</w:t>
      </w:r>
      <w:proofErr w:type="spellEnd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Sci U S A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2017 Dec 26;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114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(52</w:t>
      </w:r>
      <w:proofErr w:type="gramStart"/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:E</w:t>
      </w:r>
      <w:proofErr w:type="gramEnd"/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11238-E11247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10.1073/pnas.1707876115. </w:t>
      </w:r>
      <w:proofErr w:type="spellStart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>Epub</w:t>
      </w:r>
      <w:proofErr w:type="spellEnd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 xml:space="preserve"> 2017 Dec 11.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29229807</w:t>
      </w:r>
      <w:r w:rsidR="002D1EDE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PMC5748171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Lopez PH, Aja S, Aoki K, Seldin MM, Lei X,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Ronnett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GV, Wong GW,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Schnaar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RL. </w:t>
      </w:r>
      <w:hyperlink r:id="rId22" w:history="1">
        <w:r w:rsidR="00FA2E31" w:rsidRPr="00C17B1D">
          <w:rPr>
            <w:rStyle w:val="Hyperlink"/>
            <w:rFonts w:ascii="Arial" w:hAnsi="Arial" w:cs="Arial"/>
            <w:u w:val="none"/>
          </w:rPr>
          <w:t xml:space="preserve">Mice lacking </w:t>
        </w:r>
        <w:proofErr w:type="spellStart"/>
        <w:r w:rsidR="00FA2E31" w:rsidRPr="00C17B1D">
          <w:rPr>
            <w:rStyle w:val="Hyperlink"/>
            <w:rFonts w:ascii="Arial" w:hAnsi="Arial" w:cs="Arial"/>
            <w:u w:val="none"/>
          </w:rPr>
          <w:t>sialyltransferase</w:t>
        </w:r>
        <w:proofErr w:type="spellEnd"/>
        <w:r w:rsidR="00FA2E31" w:rsidRPr="00C17B1D">
          <w:rPr>
            <w:rStyle w:val="Hyperlink"/>
            <w:rFonts w:ascii="Arial" w:hAnsi="Arial" w:cs="Arial"/>
            <w:u w:val="none"/>
          </w:rPr>
          <w:t xml:space="preserve"> ST3Gal-II develop late-onset obesity and insulin resistance - PubMed (nih.gov)</w:t>
        </w:r>
      </w:hyperlink>
      <w:r w:rsidR="00FA2E31" w:rsidRPr="00C17B1D">
        <w:rPr>
          <w:rFonts w:ascii="Arial" w:hAnsi="Arial" w:cs="Arial"/>
        </w:rPr>
        <w:t>.</w:t>
      </w:r>
      <w:r w:rsidR="00FA2E31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Glycobiology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2017 Jan;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27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(2)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:129-139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: 10.1093/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glycob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/cww098. </w:t>
      </w:r>
      <w:proofErr w:type="spellStart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>Epub</w:t>
      </w:r>
      <w:proofErr w:type="spellEnd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 xml:space="preserve"> 2016 Sep 28.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27683310</w:t>
      </w:r>
      <w:r w:rsidR="002D1EDE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PMC5224593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Jeon Y, Aja S,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Ronnett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GV, Kim EK. </w:t>
      </w:r>
      <w:hyperlink r:id="rId23" w:history="1">
        <w:r w:rsidR="00FA2E31" w:rsidRPr="00C17B1D">
          <w:rPr>
            <w:rStyle w:val="Hyperlink"/>
            <w:rFonts w:ascii="Arial" w:hAnsi="Arial" w:cs="Arial"/>
            <w:u w:val="none"/>
          </w:rPr>
          <w:t>D-chiro-inositol glycan reduces food intake by regulating hypothalamic neuropeptide expression via AKT-FoxO1 pathway - PubMed (nih.gov)</w:t>
        </w:r>
      </w:hyperlink>
      <w:r w:rsidR="00FA2E31" w:rsidRPr="00C17B1D">
        <w:rPr>
          <w:rFonts w:ascii="Arial" w:hAnsi="Arial" w:cs="Arial"/>
        </w:rPr>
        <w:t>.</w:t>
      </w:r>
      <w:r w:rsidR="00FA2E31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Biochem</w:t>
      </w:r>
      <w:proofErr w:type="spellEnd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Biophys</w:t>
      </w:r>
      <w:proofErr w:type="spellEnd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Res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Commun</w:t>
      </w:r>
      <w:proofErr w:type="spellEnd"/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2016 Feb 19;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470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(4)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:818-23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10.1016/j.bbrc.2016.01.115. </w:t>
      </w:r>
      <w:proofErr w:type="spellStart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>Epub</w:t>
      </w:r>
      <w:proofErr w:type="spellEnd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 xml:space="preserve"> 2016 Jan 21.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26802467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  <w:r w:rsidR="002D1EDE"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 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Lee J, Choi J, Aja S, Scafidi S, Wolfgang MJ. </w:t>
      </w:r>
      <w:hyperlink r:id="rId24" w:history="1">
        <w:r w:rsidR="00FA2E31" w:rsidRPr="00C17B1D">
          <w:rPr>
            <w:rStyle w:val="Hyperlink"/>
            <w:rFonts w:ascii="Arial" w:hAnsi="Arial" w:cs="Arial"/>
            <w:u w:val="none"/>
          </w:rPr>
          <w:t>Loss of Adipose Fatty Acid Oxidation Does Not Potentiate Obesity at Thermoneutrality - PubMed (nih.gov)</w:t>
        </w:r>
      </w:hyperlink>
      <w:r w:rsidR="00FA2E31" w:rsidRPr="00C17B1D">
        <w:rPr>
          <w:rFonts w:ascii="Arial" w:hAnsi="Arial" w:cs="Arial"/>
        </w:rPr>
        <w:t>.</w:t>
      </w:r>
      <w:r w:rsidR="00FA2E31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Cell Rep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2016 Feb 16;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14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(6)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:1308-1316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10.1016/j.celrep.2016.01.029. </w:t>
      </w:r>
      <w:proofErr w:type="spellStart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>Epub</w:t>
      </w:r>
      <w:proofErr w:type="spellEnd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 xml:space="preserve"> 2016 Feb 4.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26854223</w:t>
      </w:r>
      <w:r w:rsidR="00C8311D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PMC4758873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Slocum SL,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Skoko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JJ, Wakabayashi N, Aja S, Yamamoto M,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Kensler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TW,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Chartoumpekis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DV. </w:t>
      </w:r>
      <w:hyperlink r:id="rId25" w:history="1">
        <w:r w:rsidR="00FA2E31" w:rsidRPr="00C17B1D">
          <w:rPr>
            <w:rStyle w:val="Hyperlink"/>
            <w:rFonts w:ascii="Arial" w:hAnsi="Arial" w:cs="Arial"/>
            <w:u w:val="none"/>
          </w:rPr>
          <w:t>Keap1/Nrf2 pathway activation leads to a repressed hepatic gluconeogenic and lipogenic program in mice on a high-fat diet - PubMed (nih.gov)</w:t>
        </w:r>
      </w:hyperlink>
      <w:r w:rsidR="00FA2E31" w:rsidRPr="00C17B1D">
        <w:rPr>
          <w:rFonts w:ascii="Arial" w:hAnsi="Arial" w:cs="Arial"/>
        </w:rPr>
        <w:t>.</w:t>
      </w:r>
      <w:r w:rsidR="00FA2E31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Arch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Biochem</w:t>
      </w:r>
      <w:proofErr w:type="spellEnd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Biophys</w:t>
      </w:r>
      <w:proofErr w:type="spellEnd"/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 xml:space="preserve">2016 Feb </w:t>
      </w:r>
      <w:proofErr w:type="gramStart"/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1;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591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:57</w:t>
      </w:r>
      <w:proofErr w:type="gramEnd"/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-65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10.1016/j.abb.2015.11.040. </w:t>
      </w:r>
      <w:proofErr w:type="spellStart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>Epub</w:t>
      </w:r>
      <w:proofErr w:type="spellEnd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 xml:space="preserve"> 2015 Dec 14.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26701603</w:t>
      </w:r>
      <w:r w:rsidR="00C8311D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PMC4747866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Frey JL, Li Z, Ellis JM, Zhang Q, Farber CR, Aja S, Wolfgang MJ, Clemens TL, Riddle RC. </w:t>
      </w:r>
      <w:hyperlink r:id="rId26" w:history="1">
        <w:r w:rsidR="00FA2E31" w:rsidRPr="00C17B1D">
          <w:rPr>
            <w:rStyle w:val="Hyperlink"/>
            <w:rFonts w:ascii="Arial" w:hAnsi="Arial" w:cs="Arial"/>
            <w:u w:val="none"/>
          </w:rPr>
          <w:t>Wnt-Lrp5 signaling regulates fatty acid metabolism in the osteoblast - PubMed (nih.gov)</w:t>
        </w:r>
      </w:hyperlink>
      <w:r w:rsidR="00FA2E31" w:rsidRPr="00C17B1D">
        <w:rPr>
          <w:rFonts w:ascii="Arial" w:hAnsi="Arial" w:cs="Arial"/>
        </w:rPr>
        <w:t>.</w:t>
      </w:r>
      <w:r w:rsidR="00FA2E31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Mol Cell Biol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2015 Jun 1;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35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(11)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:1979-91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10.1128/MCB.01343-14. </w:t>
      </w:r>
      <w:proofErr w:type="spellStart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>Epub</w:t>
      </w:r>
      <w:proofErr w:type="spellEnd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 xml:space="preserve"> 2015 Mar 23.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25802278</w:t>
      </w:r>
      <w:r w:rsidR="00C8311D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PMC4420919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Park MJ, Aja S, Li Q,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Degano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AL,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Penati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J,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Zhuo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J, Roe CR,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Ronnett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GV. </w:t>
      </w:r>
      <w:hyperlink r:id="rId27" w:history="1">
        <w:proofErr w:type="spellStart"/>
        <w:r w:rsidR="00FA2E31" w:rsidRPr="00C17B1D">
          <w:rPr>
            <w:rStyle w:val="Hyperlink"/>
            <w:rFonts w:ascii="Arial" w:hAnsi="Arial" w:cs="Arial"/>
            <w:u w:val="none"/>
          </w:rPr>
          <w:t>Anaplerotic</w:t>
        </w:r>
        <w:proofErr w:type="spellEnd"/>
        <w:r w:rsidR="00FA2E31" w:rsidRPr="00C17B1D">
          <w:rPr>
            <w:rStyle w:val="Hyperlink"/>
            <w:rFonts w:ascii="Arial" w:hAnsi="Arial" w:cs="Arial"/>
            <w:u w:val="none"/>
          </w:rPr>
          <w:t xml:space="preserve"> </w:t>
        </w:r>
        <w:proofErr w:type="spellStart"/>
        <w:r w:rsidR="00FA2E31" w:rsidRPr="00C17B1D">
          <w:rPr>
            <w:rStyle w:val="Hyperlink"/>
            <w:rFonts w:ascii="Arial" w:hAnsi="Arial" w:cs="Arial"/>
            <w:u w:val="none"/>
          </w:rPr>
          <w:t>triheptanoin</w:t>
        </w:r>
        <w:proofErr w:type="spellEnd"/>
        <w:r w:rsidR="00FA2E31" w:rsidRPr="00C17B1D">
          <w:rPr>
            <w:rStyle w:val="Hyperlink"/>
            <w:rFonts w:ascii="Arial" w:hAnsi="Arial" w:cs="Arial"/>
            <w:u w:val="none"/>
          </w:rPr>
          <w:t xml:space="preserve"> diet enhances mitochondrial substrate use to remodel the metabolome and improve lifespan, motor function, and sociability in MeCP2-null mice - PubMed (nih.gov)</w:t>
        </w:r>
      </w:hyperlink>
      <w:r w:rsidR="00FA2E31" w:rsidRPr="00C17B1D">
        <w:rPr>
          <w:rFonts w:ascii="Arial" w:hAnsi="Arial" w:cs="Arial"/>
        </w:rPr>
        <w:t>.</w:t>
      </w:r>
      <w:r w:rsidR="00FA2E31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PLoS</w:t>
      </w:r>
      <w:proofErr w:type="spellEnd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One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2014;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9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(10</w:t>
      </w:r>
      <w:proofErr w:type="gramStart"/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:e</w:t>
      </w:r>
      <w:proofErr w:type="gramEnd"/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109527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10.1371/journal.pone.0109527. </w:t>
      </w:r>
      <w:proofErr w:type="spellStart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>eCollection</w:t>
      </w:r>
      <w:proofErr w:type="spellEnd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 xml:space="preserve"> 2014.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25299635</w:t>
      </w:r>
      <w:r w:rsidR="00C8311D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PMC4192301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Lee DA,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Yoo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S, Pak T,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Salvatierra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J, Velarde E, Aja S,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Blackshaw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S. </w:t>
      </w:r>
      <w:hyperlink r:id="rId28" w:history="1">
        <w:r w:rsidR="00FA2E31" w:rsidRPr="00C17B1D">
          <w:rPr>
            <w:rStyle w:val="Hyperlink"/>
            <w:rFonts w:ascii="Arial" w:hAnsi="Arial" w:cs="Arial"/>
            <w:u w:val="none"/>
          </w:rPr>
          <w:t>Dietary and sex-specific factors regulate hypothalamic neurogenesis in young adult mice - PubMed (nih.gov)</w:t>
        </w:r>
      </w:hyperlink>
      <w:r w:rsidR="00FA2E31" w:rsidRPr="00C17B1D">
        <w:rPr>
          <w:rFonts w:ascii="Arial" w:hAnsi="Arial" w:cs="Arial"/>
        </w:rPr>
        <w:t>.</w:t>
      </w:r>
      <w:r w:rsidR="00FA2E31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Front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Neurosci</w:t>
      </w:r>
      <w:proofErr w:type="spellEnd"/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gramStart"/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2014;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8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:157</w:t>
      </w:r>
      <w:proofErr w:type="gramEnd"/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10.3389/fnins.2014.00157. </w:t>
      </w:r>
      <w:proofErr w:type="spellStart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>eCollection</w:t>
      </w:r>
      <w:proofErr w:type="spellEnd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 xml:space="preserve"> 2014.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24982613</w:t>
      </w:r>
      <w:r w:rsidR="00C8311D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PMC4056383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Wei Z, Lei X, Petersen PS, Aja S, Wong GW. </w:t>
      </w:r>
      <w:hyperlink r:id="rId29" w:history="1">
        <w:r w:rsidR="00FA2E31" w:rsidRPr="00C17B1D">
          <w:rPr>
            <w:rStyle w:val="Hyperlink"/>
            <w:rFonts w:ascii="Arial" w:hAnsi="Arial" w:cs="Arial"/>
            <w:u w:val="none"/>
          </w:rPr>
          <w:t>Targeted deletion of C1q/TNF-related protein 9 increases food intake, decreases insulin sensitivity, and promotes hepatic steatosis in mice - PubMed (nih.gov)</w:t>
        </w:r>
      </w:hyperlink>
      <w:r w:rsidR="00FA2E31" w:rsidRPr="00C17B1D">
        <w:rPr>
          <w:rFonts w:ascii="Arial" w:hAnsi="Arial" w:cs="Arial"/>
        </w:rPr>
        <w:t>.</w:t>
      </w:r>
      <w:r w:rsidR="00FA2E31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Am J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Physiol</w:t>
      </w:r>
      <w:proofErr w:type="spellEnd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Endocrinol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Metab</w:t>
      </w:r>
      <w:proofErr w:type="spellEnd"/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2014 Apr 1;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306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(7</w:t>
      </w:r>
      <w:proofErr w:type="gramStart"/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:E</w:t>
      </w:r>
      <w:proofErr w:type="gramEnd"/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779-90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10.1152/ajpendo.00593.2013. </w:t>
      </w:r>
      <w:proofErr w:type="spellStart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>Epub</w:t>
      </w:r>
      <w:proofErr w:type="spellEnd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 xml:space="preserve"> 2014 Jan 28.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24473438</w:t>
      </w:r>
      <w:r w:rsidR="00C8311D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PMC3962615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Peterson JM, Wei Z, Seldin MM, Byerly MS, Aja S, Wong GW. </w:t>
      </w:r>
      <w:hyperlink r:id="rId30" w:history="1">
        <w:r w:rsidR="00FA2E31" w:rsidRPr="00C17B1D">
          <w:rPr>
            <w:rStyle w:val="Hyperlink"/>
            <w:rFonts w:ascii="Arial" w:hAnsi="Arial" w:cs="Arial"/>
            <w:u w:val="none"/>
          </w:rPr>
          <w:t>CTRP9 transgenic mice are protected from diet-induced obesity and metabolic dysfunction - PubMed (nih.gov)</w:t>
        </w:r>
      </w:hyperlink>
      <w:r w:rsidR="00FA2E31" w:rsidRPr="00C17B1D">
        <w:rPr>
          <w:rFonts w:ascii="Arial" w:hAnsi="Arial" w:cs="Arial"/>
        </w:rPr>
        <w:t>.</w:t>
      </w:r>
      <w:r w:rsidR="00FA2E31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Am. J. Physiol.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Regul</w:t>
      </w:r>
      <w:proofErr w:type="spellEnd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Integr</w:t>
      </w:r>
      <w:proofErr w:type="spellEnd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. Comp. </w:t>
      </w:r>
      <w:proofErr w:type="gram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Physiol.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  <w:proofErr w:type="gramEnd"/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2013 Sep;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305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(5</w:t>
      </w:r>
      <w:proofErr w:type="gramStart"/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:R</w:t>
      </w:r>
      <w:proofErr w:type="gramEnd"/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522-33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10.1152/ajpregu.00110.2013. </w:t>
      </w:r>
      <w:proofErr w:type="spellStart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>Epub</w:t>
      </w:r>
      <w:proofErr w:type="spellEnd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 xml:space="preserve"> 2013 Jul 10.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23842676</w:t>
      </w:r>
      <w:r w:rsidR="00C8311D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PMC3763026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Peterson JM, Seldin MM, Wei Z, Aja S, Wong GW. </w:t>
      </w:r>
      <w:hyperlink r:id="rId31" w:history="1">
        <w:r w:rsidR="00FA2E31" w:rsidRPr="00C17B1D">
          <w:rPr>
            <w:rStyle w:val="Hyperlink"/>
            <w:rFonts w:ascii="Arial" w:hAnsi="Arial" w:cs="Arial"/>
            <w:u w:val="none"/>
          </w:rPr>
          <w:t>CTRP3 attenuates diet-induced hepatic steatosis by regulating triglyceride metabolism - PubMed (nih.gov)</w:t>
        </w:r>
      </w:hyperlink>
      <w:r w:rsidR="00FA2E31" w:rsidRPr="00C17B1D">
        <w:rPr>
          <w:rFonts w:ascii="Arial" w:hAnsi="Arial" w:cs="Arial"/>
        </w:rPr>
        <w:t>.</w:t>
      </w:r>
      <w:r w:rsidR="00FA2E31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Am J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Physiol</w:t>
      </w:r>
      <w:proofErr w:type="spellEnd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Gastrointest</w:t>
      </w:r>
      <w:proofErr w:type="spellEnd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Liver Physiol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2013 Aug 1;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305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(3</w:t>
      </w:r>
      <w:proofErr w:type="gramStart"/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:G</w:t>
      </w:r>
      <w:proofErr w:type="gramEnd"/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214-24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10.1152/ajpgi.00102.2013. </w:t>
      </w:r>
      <w:proofErr w:type="spellStart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>Epub</w:t>
      </w:r>
      <w:proofErr w:type="spellEnd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 xml:space="preserve"> 2013 Jun 6.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23744740</w:t>
      </w:r>
      <w:r w:rsidR="00C8311D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PMC3742855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Byerly MS, Swanson RD,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Semsarzadeh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NN, McCulloh PS, Kwon K, Aja S, Moran TH, Wong GW,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Blackshaw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S. </w:t>
      </w:r>
      <w:hyperlink r:id="rId32" w:history="1">
        <w:r w:rsidR="00FA2E31" w:rsidRPr="00C17B1D">
          <w:rPr>
            <w:rStyle w:val="Hyperlink"/>
            <w:rFonts w:ascii="Arial" w:hAnsi="Arial" w:cs="Arial"/>
            <w:u w:val="none"/>
          </w:rPr>
          <w:t>Identification of hypothalamic neuron-derived neurotrophic factor as a novel factor modulating appetite - PubMed (nih.gov)</w:t>
        </w:r>
      </w:hyperlink>
      <w:r w:rsidR="00FA2E31" w:rsidRPr="00C17B1D">
        <w:rPr>
          <w:rFonts w:ascii="Arial" w:hAnsi="Arial" w:cs="Arial"/>
        </w:rPr>
        <w:t>.</w:t>
      </w:r>
      <w:r w:rsidR="00FA2E31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Am J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Physiol</w:t>
      </w:r>
      <w:proofErr w:type="spellEnd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Regul</w:t>
      </w:r>
      <w:proofErr w:type="spellEnd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Integr</w:t>
      </w:r>
      <w:proofErr w:type="spellEnd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Comp Physiol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2013 Jun 15;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304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(12</w:t>
      </w:r>
      <w:proofErr w:type="gramStart"/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:R</w:t>
      </w:r>
      <w:proofErr w:type="gramEnd"/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1085-95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10.1152/ajpregu.00368.2012. </w:t>
      </w:r>
      <w:proofErr w:type="spellStart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>Epub</w:t>
      </w:r>
      <w:proofErr w:type="spellEnd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 xml:space="preserve"> 2013 Apr 10.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23576617</w:t>
      </w:r>
      <w:r w:rsidR="00C8311D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PMC3680792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Byerly MS, Al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Salayta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M, Swanson RD, Kwon K, Peterson JM, Wei Z, Aja S, Moran TH,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Blackshaw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S, Wong GW. </w:t>
      </w:r>
      <w:hyperlink r:id="rId33" w:history="1">
        <w:r w:rsidR="0056279F" w:rsidRPr="00C17B1D">
          <w:rPr>
            <w:rStyle w:val="Hyperlink"/>
            <w:rFonts w:ascii="Arial" w:hAnsi="Arial" w:cs="Arial"/>
            <w:u w:val="none"/>
          </w:rPr>
          <w:t xml:space="preserve">Estrogen-related receptor β deletion modulates whole-body energy balance via estrogen-related </w:t>
        </w:r>
        <w:r w:rsidR="0056279F" w:rsidRPr="00C17B1D">
          <w:rPr>
            <w:rStyle w:val="Hyperlink"/>
            <w:rFonts w:ascii="Arial" w:hAnsi="Arial" w:cs="Arial"/>
            <w:u w:val="none"/>
          </w:rPr>
          <w:lastRenderedPageBreak/>
          <w:t>receptor γ and attenuates neuropeptide Y gene expression - PubMed (nih.gov)</w:t>
        </w:r>
      </w:hyperlink>
      <w:r w:rsidR="0056279F" w:rsidRPr="00C17B1D">
        <w:rPr>
          <w:rFonts w:ascii="Arial" w:hAnsi="Arial" w:cs="Arial"/>
        </w:rPr>
        <w:t>.</w:t>
      </w:r>
      <w:r w:rsidR="0056279F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Eur J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Neurosci</w:t>
      </w:r>
      <w:proofErr w:type="spellEnd"/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2013 Apr;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37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(7)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:1033-47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10.1111/ejn.12122. </w:t>
      </w:r>
      <w:proofErr w:type="spellStart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>Epub</w:t>
      </w:r>
      <w:proofErr w:type="spellEnd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 xml:space="preserve"> 2013 Jan 29.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23360481</w:t>
      </w:r>
      <w:r w:rsidR="00C8311D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PMC3618562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Shin MK, Drager LF, Yao Q, Bevans-Fonti S,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Yoo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DY, Jun JC, Aja S,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Bhanot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S,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Polotsky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VY. </w:t>
      </w:r>
      <w:hyperlink r:id="rId34" w:history="1">
        <w:r w:rsidR="0056279F" w:rsidRPr="00C17B1D">
          <w:rPr>
            <w:rStyle w:val="Hyperlink"/>
            <w:rFonts w:ascii="Arial" w:hAnsi="Arial" w:cs="Arial"/>
            <w:u w:val="none"/>
          </w:rPr>
          <w:t>Metabolic consequences of high-fat diet are attenuated by suppression of HIF-1α - PubMed (nih.gov)</w:t>
        </w:r>
      </w:hyperlink>
      <w:r w:rsidR="0056279F" w:rsidRPr="00C17B1D">
        <w:rPr>
          <w:rFonts w:ascii="Arial" w:hAnsi="Arial" w:cs="Arial"/>
        </w:rPr>
        <w:t>.</w:t>
      </w:r>
      <w:r w:rsidR="0056279F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PLoS</w:t>
      </w:r>
      <w:proofErr w:type="spellEnd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One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2012;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7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(10</w:t>
      </w:r>
      <w:proofErr w:type="gramStart"/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:e</w:t>
      </w:r>
      <w:proofErr w:type="gramEnd"/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46562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10.1371/journal.pone.0046562. </w:t>
      </w:r>
      <w:proofErr w:type="spellStart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>Epub</w:t>
      </w:r>
      <w:proofErr w:type="spellEnd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 xml:space="preserve"> 2012 Oct 1.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23049707</w:t>
      </w:r>
      <w:r w:rsidR="00C8311D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PMC3462192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Lee DA,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Bedont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JL, Pak T, Wang H, Song J, Miranda-Angulo A,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Takiar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V,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Charubhumi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V,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Balordi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F,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Takebayashi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H, Aja S, Ford E,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Fishell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G,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Blackshaw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S. </w:t>
      </w:r>
      <w:hyperlink r:id="rId35" w:history="1">
        <w:proofErr w:type="spellStart"/>
        <w:r w:rsidR="0056279F" w:rsidRPr="00C17B1D">
          <w:rPr>
            <w:rStyle w:val="Hyperlink"/>
            <w:rFonts w:ascii="Arial" w:hAnsi="Arial" w:cs="Arial"/>
            <w:u w:val="none"/>
          </w:rPr>
          <w:t>Tanycytes</w:t>
        </w:r>
        <w:proofErr w:type="spellEnd"/>
        <w:r w:rsidR="0056279F" w:rsidRPr="00C17B1D">
          <w:rPr>
            <w:rStyle w:val="Hyperlink"/>
            <w:rFonts w:ascii="Arial" w:hAnsi="Arial" w:cs="Arial"/>
            <w:u w:val="none"/>
          </w:rPr>
          <w:t xml:space="preserve"> of the hypothalamic median eminence form a diet-responsive neurogenic niche - PubMed (nih.gov)</w:t>
        </w:r>
      </w:hyperlink>
      <w:r w:rsidR="0056279F" w:rsidRPr="00C17B1D">
        <w:rPr>
          <w:rFonts w:ascii="Arial" w:hAnsi="Arial" w:cs="Arial"/>
        </w:rPr>
        <w:t>.</w:t>
      </w:r>
      <w:r w:rsidR="0056279F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Nat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Neurosci</w:t>
      </w:r>
      <w:proofErr w:type="spellEnd"/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2012 Mar 25;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15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(5)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:700-2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10.1038/nn.3079.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22446882</w:t>
      </w:r>
      <w:r w:rsidR="00C8311D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PMC3380241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Peterson JM, Aja S, Wei Z, Wong GW. </w:t>
      </w:r>
      <w:hyperlink r:id="rId36" w:history="1">
        <w:r w:rsidR="00B90E4E" w:rsidRPr="00C17B1D">
          <w:rPr>
            <w:rStyle w:val="Hyperlink"/>
            <w:rFonts w:ascii="Arial" w:hAnsi="Arial" w:cs="Arial"/>
            <w:u w:val="none"/>
          </w:rPr>
          <w:t>CTRP1 protein enhances fatty acid oxidation via AMP-activated protein kinase (AMPK) activation and acetyl-CoA carboxylase (ACC) inhibition - PubMed (nih.gov)</w:t>
        </w:r>
      </w:hyperlink>
      <w:r w:rsidR="00B90E4E" w:rsidRPr="00C17B1D">
        <w:rPr>
          <w:rFonts w:ascii="Arial" w:hAnsi="Arial" w:cs="Arial"/>
        </w:rPr>
        <w:t>.</w:t>
      </w:r>
      <w:r w:rsidR="00B90E4E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J Biol Chem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2012 Jan 6;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287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(2)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:1576-87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10.1074/jbc.M111.278333. </w:t>
      </w:r>
      <w:proofErr w:type="spellStart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>Epub</w:t>
      </w:r>
      <w:proofErr w:type="spellEnd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 xml:space="preserve"> 2011 Nov 15.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22086915</w:t>
      </w:r>
      <w:r w:rsidR="00C8311D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PMC3256898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Jiang M, Wang J, Fu J, Du L,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Jeong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H, West T, Xiang L, Peng Q, Hou Z, Cai H,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Seredenina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T,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Arbez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N, Zhu S, Sommers K, Qian J, Zhang J, Mori S, Yang XW, Tamashiro KL, Aja S, Moran TH,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Luthi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-Carter R, Martin B, Maudsley S, Mattson MP,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Cichewicz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RH, Ross CA, Holtzman DM,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Krainc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D,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Duan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W. </w:t>
      </w:r>
      <w:hyperlink r:id="rId37" w:history="1">
        <w:r w:rsidR="00B90E4E" w:rsidRPr="00C17B1D">
          <w:rPr>
            <w:rStyle w:val="Hyperlink"/>
            <w:rFonts w:ascii="Arial" w:hAnsi="Arial" w:cs="Arial"/>
            <w:u w:val="none"/>
          </w:rPr>
          <w:t>Neuroprotective role of Sirt1 in mammalian models of Huntington's disease through activation of multiple Sirt1 targets - PubMed (nih.gov)</w:t>
        </w:r>
      </w:hyperlink>
      <w:r w:rsidR="00B90E4E" w:rsidRPr="00C17B1D">
        <w:rPr>
          <w:rFonts w:ascii="Arial" w:hAnsi="Arial" w:cs="Arial"/>
        </w:rPr>
        <w:t>.</w:t>
      </w:r>
      <w:r w:rsidR="00B90E4E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Nat Med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2011 Dec 18;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18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(1)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:153-8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10.1038/nm.2558.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22179319</w:t>
      </w:r>
      <w:r w:rsidR="00C8311D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PMC4551453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color w:val="212121"/>
          <w:sz w:val="20"/>
          <w:szCs w:val="15"/>
          <w:lang w:val="en"/>
        </w:rPr>
      </w:pPr>
      <w:r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 xml:space="preserve">Zhang Z, Wakabayashi N, Wakabayashi J, Tamura Y, Song WJ, </w:t>
      </w:r>
      <w:proofErr w:type="spellStart"/>
      <w:r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>Sereda</w:t>
      </w:r>
      <w:proofErr w:type="spellEnd"/>
      <w:r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 xml:space="preserve"> S, Clerc P, </w:t>
      </w:r>
      <w:proofErr w:type="spellStart"/>
      <w:r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>Polster</w:t>
      </w:r>
      <w:proofErr w:type="spellEnd"/>
      <w:r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 xml:space="preserve"> BM, Aja SM, Pletnikov MV, </w:t>
      </w:r>
      <w:proofErr w:type="spellStart"/>
      <w:r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>Kensler</w:t>
      </w:r>
      <w:proofErr w:type="spellEnd"/>
      <w:r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 xml:space="preserve"> TW, </w:t>
      </w:r>
      <w:proofErr w:type="spellStart"/>
      <w:r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>Shirihai</w:t>
      </w:r>
      <w:proofErr w:type="spellEnd"/>
      <w:r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 xml:space="preserve"> OS, </w:t>
      </w:r>
      <w:proofErr w:type="spellStart"/>
      <w:r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>Iijima</w:t>
      </w:r>
      <w:proofErr w:type="spellEnd"/>
      <w:r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 xml:space="preserve"> M, Hussain MA, </w:t>
      </w:r>
      <w:proofErr w:type="spellStart"/>
      <w:r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>Sesaki</w:t>
      </w:r>
      <w:proofErr w:type="spellEnd"/>
      <w:r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 xml:space="preserve"> H. </w:t>
      </w:r>
      <w:hyperlink r:id="rId38" w:history="1">
        <w:r w:rsidR="00B90E4E" w:rsidRPr="00C17B1D">
          <w:rPr>
            <w:rStyle w:val="Hyperlink"/>
            <w:rFonts w:ascii="Arial" w:hAnsi="Arial" w:cs="Arial"/>
            <w:u w:val="none"/>
          </w:rPr>
          <w:t>The dynamin-related GTPase Opa1 is required for glucose-stimulated ATP production in pancreatic beta cells - PubMed (nih.gov)</w:t>
        </w:r>
      </w:hyperlink>
      <w:r w:rsidR="00B90E4E" w:rsidRPr="00C17B1D">
        <w:rPr>
          <w:rFonts w:ascii="Arial" w:hAnsi="Arial" w:cs="Arial"/>
        </w:rPr>
        <w:t>.</w:t>
      </w:r>
      <w:r w:rsidR="00B90E4E"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 xml:space="preserve">Mol Biol Cell. 2011 Jul 1;22(13):2235-45. </w:t>
      </w:r>
      <w:proofErr w:type="spellStart"/>
      <w:r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>: 10.1091/</w:t>
      </w:r>
      <w:proofErr w:type="gramStart"/>
      <w:r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>mbc.E</w:t>
      </w:r>
      <w:proofErr w:type="gramEnd"/>
      <w:r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 xml:space="preserve">10-12-0933. </w:t>
      </w:r>
      <w:proofErr w:type="spellStart"/>
      <w:r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>Epub</w:t>
      </w:r>
      <w:proofErr w:type="spellEnd"/>
      <w:r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 xml:space="preserve"> 2011 May 5. PMID: 21551073</w:t>
      </w:r>
      <w:r w:rsidR="00C8311D"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Fonts w:ascii="Arial" w:eastAsia="Times New Roman" w:hAnsi="Arial" w:cs="Arial"/>
          <w:color w:val="212121"/>
          <w:sz w:val="20"/>
          <w:szCs w:val="15"/>
          <w:lang w:val="en"/>
        </w:rPr>
        <w:t xml:space="preserve">PMCID: PMC3128526. 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Kuhajda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FP, Aja S, Tu Y, Han WF,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Medghalchi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SM, El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Meskini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R,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Landree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LE, Peterson JM, Daniels K, Wong K,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Wydysh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EA, Townsend CA,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Ronnett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GV. </w:t>
      </w:r>
      <w:hyperlink r:id="rId39" w:history="1">
        <w:r w:rsidR="00B90E4E" w:rsidRPr="00C17B1D">
          <w:rPr>
            <w:rStyle w:val="Hyperlink"/>
            <w:rFonts w:ascii="Arial" w:hAnsi="Arial" w:cs="Arial"/>
            <w:u w:val="none"/>
          </w:rPr>
          <w:t>Pharmacological glycerol-3-phosphate acyltransferase inhibition decreases food intake and adiposity and increases insulin sensitivity in diet-induced obesity - PubMed (nih.gov)</w:t>
        </w:r>
      </w:hyperlink>
      <w:r w:rsidR="00B90E4E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Am J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Physiol</w:t>
      </w:r>
      <w:proofErr w:type="spellEnd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Regul</w:t>
      </w:r>
      <w:proofErr w:type="spellEnd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Integr</w:t>
      </w:r>
      <w:proofErr w:type="spellEnd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Comp Physiol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2011 Jul;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301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(1</w:t>
      </w:r>
      <w:proofErr w:type="gramStart"/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:R</w:t>
      </w:r>
      <w:proofErr w:type="gramEnd"/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116-30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10.1152/ajpregu.00147.2011. </w:t>
      </w:r>
      <w:proofErr w:type="spellStart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>Epub</w:t>
      </w:r>
      <w:proofErr w:type="spellEnd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 xml:space="preserve"> 2011 Apr 13.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21490364</w:t>
      </w:r>
      <w:r w:rsidR="00C8311D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PMC3129873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Chao PT, Yang L, Aja S, Moran TH, Bi S. </w:t>
      </w:r>
      <w:hyperlink r:id="rId40" w:history="1">
        <w:r w:rsidR="00B90E4E" w:rsidRPr="00C17B1D">
          <w:rPr>
            <w:rStyle w:val="Hyperlink"/>
            <w:rFonts w:ascii="Arial" w:hAnsi="Arial" w:cs="Arial"/>
            <w:u w:val="none"/>
          </w:rPr>
          <w:t>Knockdown of NPY expression in the dorsomedial hypothalamus promotes development of brown adipocytes and prevents diet-induced obesity - PubMed (nih.gov)</w:t>
        </w:r>
      </w:hyperlink>
      <w:r w:rsidR="00B90E4E" w:rsidRPr="00C17B1D">
        <w:rPr>
          <w:rFonts w:ascii="Arial" w:hAnsi="Arial" w:cs="Arial"/>
        </w:rPr>
        <w:t>.</w:t>
      </w:r>
      <w:r w:rsidR="00B90E4E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Cell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Metab</w:t>
      </w:r>
      <w:proofErr w:type="spellEnd"/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2011 May 4;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13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(5)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:573-83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10.1016/j.cmet.2011.02.019.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21531339</w:t>
      </w:r>
      <w:r w:rsidR="00C8311D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PMC3093161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Chiang PM, Ling J,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Jeong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YH, Price DL, Aja SM, Wong PC. </w:t>
      </w:r>
      <w:hyperlink r:id="rId41" w:history="1">
        <w:r w:rsidR="00B90E4E" w:rsidRPr="00C17B1D">
          <w:rPr>
            <w:rStyle w:val="Hyperlink"/>
            <w:rFonts w:ascii="Arial" w:hAnsi="Arial" w:cs="Arial"/>
            <w:u w:val="none"/>
          </w:rPr>
          <w:t>Deletion of TDP-43 down-regulates Tbc1d1, a gene linked to obesity, and alters body fat metabolism - PubMed (nih.gov)</w:t>
        </w:r>
      </w:hyperlink>
      <w:r w:rsidR="00B90E4E" w:rsidRPr="00C17B1D">
        <w:rPr>
          <w:rFonts w:ascii="Arial" w:hAnsi="Arial" w:cs="Arial"/>
        </w:rPr>
        <w:t>.</w:t>
      </w:r>
      <w:r w:rsidR="00B90E4E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Proc Natl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Acad</w:t>
      </w:r>
      <w:proofErr w:type="spellEnd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Sci U S A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2010 Sep 14;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107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(37)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:16320-4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10.1073/pnas.1002176107. </w:t>
      </w:r>
      <w:proofErr w:type="spellStart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>Epub</w:t>
      </w:r>
      <w:proofErr w:type="spellEnd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 xml:space="preserve"> 2010 Jul 26.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20660762</w:t>
      </w:r>
      <w:r w:rsidR="00C8311D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PMC2941284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AC74B5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Fulzele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K, Riddle RC, DiGirolamo DJ, Cao X, Wan C, Chen D,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Faugere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MC, Aja S, Hussain MA,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Brüning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JC, Clemens TL. </w:t>
      </w:r>
      <w:hyperlink r:id="rId42" w:history="1">
        <w:r w:rsidR="00B90E4E" w:rsidRPr="00C17B1D">
          <w:rPr>
            <w:rStyle w:val="Hyperlink"/>
            <w:rFonts w:ascii="Arial" w:hAnsi="Arial" w:cs="Arial"/>
            <w:u w:val="none"/>
          </w:rPr>
          <w:t>Insulin receptor signaling in osteoblasts regulates postnatal bone acquisition and body composition - PubMed (nih.gov)</w:t>
        </w:r>
      </w:hyperlink>
      <w:r w:rsidR="00B90E4E" w:rsidRPr="00C17B1D">
        <w:rPr>
          <w:rFonts w:ascii="Arial" w:hAnsi="Arial" w:cs="Arial"/>
        </w:rPr>
        <w:t>.</w:t>
      </w:r>
      <w:r w:rsidR="00B90E4E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Cell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2010 Jul 23;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142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(2)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:309-19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10.1016/j.cell.2010.06.002.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20655471</w:t>
      </w:r>
      <w:r w:rsidR="00C8311D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PMC2925155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p w:rsidR="00827622" w:rsidRPr="00C17B1D" w:rsidRDefault="00827622" w:rsidP="00AC74B5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20"/>
          <w:szCs w:val="15"/>
          <w:lang w:val="en"/>
        </w:rPr>
      </w:pPr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Shin S, Wakabayashi J, Yates MS, Wakabayashi N, Dolan PM, Aja S,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Liby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KT,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Sporn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MB, Yamamoto M, </w:t>
      </w:r>
      <w:proofErr w:type="spellStart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>Kensler</w:t>
      </w:r>
      <w:proofErr w:type="spellEnd"/>
      <w:r w:rsidRPr="00C17B1D">
        <w:rPr>
          <w:rStyle w:val="authors"/>
          <w:rFonts w:ascii="Arial" w:hAnsi="Arial" w:cs="Arial"/>
          <w:color w:val="212121"/>
          <w:sz w:val="20"/>
          <w:szCs w:val="15"/>
          <w:lang w:val="en"/>
        </w:rPr>
        <w:t xml:space="preserve"> TW. </w:t>
      </w:r>
      <w:hyperlink r:id="rId43" w:history="1">
        <w:r w:rsidR="00B90E4E" w:rsidRPr="00C17B1D">
          <w:rPr>
            <w:rStyle w:val="Hyperlink"/>
            <w:rFonts w:ascii="Arial" w:hAnsi="Arial" w:cs="Arial"/>
            <w:u w:val="none"/>
          </w:rPr>
          <w:t>Role of Nrf2 in prevention of high-fat diet-induced obesity by synthetic triterpenoid CDDO-</w:t>
        </w:r>
        <w:proofErr w:type="spellStart"/>
        <w:r w:rsidR="00B90E4E" w:rsidRPr="00C17B1D">
          <w:rPr>
            <w:rStyle w:val="Hyperlink"/>
            <w:rFonts w:ascii="Arial" w:hAnsi="Arial" w:cs="Arial"/>
            <w:u w:val="none"/>
          </w:rPr>
          <w:t>imidazolide</w:t>
        </w:r>
        <w:proofErr w:type="spellEnd"/>
        <w:r w:rsidR="00B90E4E" w:rsidRPr="00C17B1D">
          <w:rPr>
            <w:rStyle w:val="Hyperlink"/>
            <w:rFonts w:ascii="Arial" w:hAnsi="Arial" w:cs="Arial"/>
            <w:u w:val="none"/>
          </w:rPr>
          <w:t xml:space="preserve"> - PubMed (nih.gov)</w:t>
        </w:r>
      </w:hyperlink>
      <w:r w:rsidR="00B90E4E" w:rsidRPr="00C17B1D">
        <w:rPr>
          <w:rFonts w:ascii="Arial" w:hAnsi="Arial" w:cs="Arial"/>
        </w:rPr>
        <w:t>.</w:t>
      </w:r>
      <w:r w:rsidR="00B90E4E"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 </w:t>
      </w:r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 xml:space="preserve">Eur J </w:t>
      </w:r>
      <w:proofErr w:type="spellStart"/>
      <w:r w:rsidRPr="00C17B1D">
        <w:rPr>
          <w:rStyle w:val="source"/>
          <w:rFonts w:ascii="Arial" w:hAnsi="Arial" w:cs="Arial"/>
          <w:color w:val="212121"/>
          <w:sz w:val="20"/>
          <w:szCs w:val="15"/>
          <w:lang w:val="en"/>
        </w:rPr>
        <w:t>Pharmacol</w:t>
      </w:r>
      <w:proofErr w:type="spellEnd"/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ubdate"/>
          <w:rFonts w:ascii="Arial" w:hAnsi="Arial" w:cs="Arial"/>
          <w:color w:val="212121"/>
          <w:sz w:val="20"/>
          <w:szCs w:val="15"/>
          <w:lang w:val="en"/>
        </w:rPr>
        <w:t>2009 Oct 12;</w:t>
      </w:r>
      <w:r w:rsidRPr="00C17B1D">
        <w:rPr>
          <w:rStyle w:val="volume"/>
          <w:rFonts w:ascii="Arial" w:hAnsi="Arial" w:cs="Arial"/>
          <w:color w:val="212121"/>
          <w:sz w:val="20"/>
          <w:szCs w:val="15"/>
          <w:lang w:val="en"/>
        </w:rPr>
        <w:t>620</w:t>
      </w:r>
      <w:r w:rsidRPr="00C17B1D">
        <w:rPr>
          <w:rStyle w:val="issue"/>
          <w:rFonts w:ascii="Arial" w:hAnsi="Arial" w:cs="Arial"/>
          <w:color w:val="212121"/>
          <w:sz w:val="20"/>
          <w:szCs w:val="15"/>
          <w:lang w:val="en"/>
        </w:rPr>
        <w:t>(1-3)</w:t>
      </w:r>
      <w:r w:rsidRPr="00C17B1D">
        <w:rPr>
          <w:rStyle w:val="pages"/>
          <w:rFonts w:ascii="Arial" w:hAnsi="Arial" w:cs="Arial"/>
          <w:color w:val="212121"/>
          <w:sz w:val="20"/>
          <w:szCs w:val="15"/>
          <w:lang w:val="en"/>
        </w:rPr>
        <w:t>:138-44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 xml:space="preserve">. </w:t>
      </w:r>
      <w:proofErr w:type="spellStart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>doi</w:t>
      </w:r>
      <w:proofErr w:type="spellEnd"/>
      <w:r w:rsidRPr="00C17B1D">
        <w:rPr>
          <w:rStyle w:val="doi"/>
          <w:rFonts w:ascii="Arial" w:hAnsi="Arial" w:cs="Arial"/>
          <w:color w:val="212121"/>
          <w:sz w:val="20"/>
          <w:szCs w:val="15"/>
          <w:lang w:val="en"/>
        </w:rPr>
        <w:t xml:space="preserve">: 10.1016/j.ejphar.2009.08.022. </w:t>
      </w:r>
      <w:proofErr w:type="spellStart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>Epub</w:t>
      </w:r>
      <w:proofErr w:type="spellEnd"/>
      <w:r w:rsidRPr="00C17B1D">
        <w:rPr>
          <w:rStyle w:val="pubstatus"/>
          <w:rFonts w:ascii="Arial" w:hAnsi="Arial" w:cs="Arial"/>
          <w:color w:val="212121"/>
          <w:sz w:val="20"/>
          <w:szCs w:val="15"/>
          <w:lang w:val="en"/>
        </w:rPr>
        <w:t xml:space="preserve"> 2009 Aug 19. </w:t>
      </w:r>
      <w:r w:rsidRPr="00C17B1D">
        <w:rPr>
          <w:rStyle w:val="pmid"/>
          <w:rFonts w:ascii="Arial" w:hAnsi="Arial" w:cs="Arial"/>
          <w:color w:val="212121"/>
          <w:sz w:val="20"/>
          <w:szCs w:val="15"/>
          <w:lang w:val="en"/>
        </w:rPr>
        <w:t>PMID: 19698707</w:t>
      </w:r>
      <w:r w:rsidR="00C8311D"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 xml:space="preserve">. </w:t>
      </w:r>
      <w:r w:rsidRPr="00C17B1D">
        <w:rPr>
          <w:rStyle w:val="pmcid"/>
          <w:rFonts w:ascii="Arial" w:hAnsi="Arial" w:cs="Arial"/>
          <w:color w:val="212121"/>
          <w:sz w:val="20"/>
          <w:szCs w:val="15"/>
          <w:lang w:val="en"/>
        </w:rPr>
        <w:t>PMCID: PMC2752754</w:t>
      </w:r>
      <w:r w:rsidRPr="00C17B1D">
        <w:rPr>
          <w:rFonts w:ascii="Arial" w:hAnsi="Arial" w:cs="Arial"/>
          <w:color w:val="212121"/>
          <w:sz w:val="20"/>
          <w:szCs w:val="15"/>
          <w:lang w:val="en"/>
        </w:rPr>
        <w:t>.</w:t>
      </w:r>
    </w:p>
    <w:sectPr w:rsidR="00827622" w:rsidRPr="00C17B1D" w:rsidSect="008276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751F6"/>
    <w:multiLevelType w:val="hybridMultilevel"/>
    <w:tmpl w:val="41108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22"/>
    <w:rsid w:val="00031B14"/>
    <w:rsid w:val="001B7280"/>
    <w:rsid w:val="00262913"/>
    <w:rsid w:val="002A682E"/>
    <w:rsid w:val="002B7548"/>
    <w:rsid w:val="002D1EDE"/>
    <w:rsid w:val="0056279F"/>
    <w:rsid w:val="005F3713"/>
    <w:rsid w:val="00704C51"/>
    <w:rsid w:val="007B5088"/>
    <w:rsid w:val="007E286E"/>
    <w:rsid w:val="007F7787"/>
    <w:rsid w:val="00827622"/>
    <w:rsid w:val="00906EEA"/>
    <w:rsid w:val="00A73266"/>
    <w:rsid w:val="00AB1D65"/>
    <w:rsid w:val="00AC74B5"/>
    <w:rsid w:val="00B10350"/>
    <w:rsid w:val="00B267D0"/>
    <w:rsid w:val="00B312DA"/>
    <w:rsid w:val="00B90E4E"/>
    <w:rsid w:val="00C17B1D"/>
    <w:rsid w:val="00C8311D"/>
    <w:rsid w:val="00D710C5"/>
    <w:rsid w:val="00DD0A2E"/>
    <w:rsid w:val="00F41290"/>
    <w:rsid w:val="00FA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B3FC2"/>
  <w15:chartTrackingRefBased/>
  <w15:docId w15:val="{3A2FEFE7-AB06-4AB2-A016-9ED79311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s">
    <w:name w:val="authors"/>
    <w:basedOn w:val="DefaultParagraphFont"/>
    <w:rsid w:val="00827622"/>
  </w:style>
  <w:style w:type="character" w:customStyle="1" w:styleId="source">
    <w:name w:val="source"/>
    <w:basedOn w:val="DefaultParagraphFont"/>
    <w:rsid w:val="00827622"/>
  </w:style>
  <w:style w:type="character" w:customStyle="1" w:styleId="pubdate">
    <w:name w:val="pubdate"/>
    <w:basedOn w:val="DefaultParagraphFont"/>
    <w:rsid w:val="00827622"/>
  </w:style>
  <w:style w:type="character" w:customStyle="1" w:styleId="volume">
    <w:name w:val="volume"/>
    <w:basedOn w:val="DefaultParagraphFont"/>
    <w:rsid w:val="00827622"/>
  </w:style>
  <w:style w:type="character" w:customStyle="1" w:styleId="issue">
    <w:name w:val="issue"/>
    <w:basedOn w:val="DefaultParagraphFont"/>
    <w:rsid w:val="00827622"/>
  </w:style>
  <w:style w:type="character" w:customStyle="1" w:styleId="pages">
    <w:name w:val="pages"/>
    <w:basedOn w:val="DefaultParagraphFont"/>
    <w:rsid w:val="00827622"/>
  </w:style>
  <w:style w:type="character" w:customStyle="1" w:styleId="doi">
    <w:name w:val="doi"/>
    <w:basedOn w:val="DefaultParagraphFont"/>
    <w:rsid w:val="00827622"/>
  </w:style>
  <w:style w:type="character" w:customStyle="1" w:styleId="pubstatus">
    <w:name w:val="pubstatus"/>
    <w:basedOn w:val="DefaultParagraphFont"/>
    <w:rsid w:val="00827622"/>
  </w:style>
  <w:style w:type="character" w:customStyle="1" w:styleId="pmid">
    <w:name w:val="pmid"/>
    <w:basedOn w:val="DefaultParagraphFont"/>
    <w:rsid w:val="00827622"/>
  </w:style>
  <w:style w:type="character" w:customStyle="1" w:styleId="pmcid">
    <w:name w:val="pmcid"/>
    <w:basedOn w:val="DefaultParagraphFont"/>
    <w:rsid w:val="00827622"/>
  </w:style>
  <w:style w:type="character" w:customStyle="1" w:styleId="pubtype">
    <w:name w:val="pubtype"/>
    <w:basedOn w:val="DefaultParagraphFont"/>
    <w:rsid w:val="00827622"/>
  </w:style>
  <w:style w:type="character" w:styleId="Hyperlink">
    <w:name w:val="Hyperlink"/>
    <w:basedOn w:val="DefaultParagraphFont"/>
    <w:uiPriority w:val="99"/>
    <w:semiHidden/>
    <w:unhideWhenUsed/>
    <w:rsid w:val="005F37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74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2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0378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4061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3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7984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8645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364165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2494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40661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76249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452784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635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7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128320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423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699570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5265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809704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7959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633934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8086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365857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0982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2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250921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7036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863213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8723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670390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7471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086583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6090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555458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857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827043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4004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962641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89415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6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768267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682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138480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2685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424370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5401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168557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3016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471988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2917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188805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094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818699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3777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424147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8955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010755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4999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17052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4851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910501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78492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0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334950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4891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669909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6170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268455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0674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2267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0100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675402">
              <w:marLeft w:val="0"/>
              <w:marRight w:val="0"/>
              <w:marTop w:val="240"/>
              <w:marBottom w:val="240"/>
              <w:divBdr>
                <w:top w:val="single" w:sz="6" w:space="0" w:color="E2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448">
                  <w:marLeft w:val="3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35403439/" TargetMode="External"/><Relationship Id="rId18" Type="http://schemas.openxmlformats.org/officeDocument/2006/relationships/hyperlink" Target="https://pubmed.ncbi.nlm.nih.gov/32313611/" TargetMode="External"/><Relationship Id="rId26" Type="http://schemas.openxmlformats.org/officeDocument/2006/relationships/hyperlink" Target="https://pubmed.ncbi.nlm.nih.gov/25802278/" TargetMode="External"/><Relationship Id="rId39" Type="http://schemas.openxmlformats.org/officeDocument/2006/relationships/hyperlink" Target="https://pubmed.ncbi.nlm.nih.gov/21490364/" TargetMode="External"/><Relationship Id="rId21" Type="http://schemas.openxmlformats.org/officeDocument/2006/relationships/hyperlink" Target="https://pubmed.ncbi.nlm.nih.gov/29229807/" TargetMode="External"/><Relationship Id="rId34" Type="http://schemas.openxmlformats.org/officeDocument/2006/relationships/hyperlink" Target="https://pubmed.ncbi.nlm.nih.gov/23049707/" TargetMode="External"/><Relationship Id="rId42" Type="http://schemas.openxmlformats.org/officeDocument/2006/relationships/hyperlink" Target="https://pubmed.ncbi.nlm.nih.gov/20655471/" TargetMode="External"/><Relationship Id="rId7" Type="http://schemas.openxmlformats.org/officeDocument/2006/relationships/hyperlink" Target="https://pubmed.ncbi.nlm.nih.gov/3753416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33017221/" TargetMode="External"/><Relationship Id="rId29" Type="http://schemas.openxmlformats.org/officeDocument/2006/relationships/hyperlink" Target="https://pubmed.ncbi.nlm.nih.gov/2447343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7961647/" TargetMode="External"/><Relationship Id="rId11" Type="http://schemas.openxmlformats.org/officeDocument/2006/relationships/hyperlink" Target="https://pubmed.ncbi.nlm.nih.gov/36587842/" TargetMode="External"/><Relationship Id="rId24" Type="http://schemas.openxmlformats.org/officeDocument/2006/relationships/hyperlink" Target="https://pubmed.ncbi.nlm.nih.gov/26854223/" TargetMode="External"/><Relationship Id="rId32" Type="http://schemas.openxmlformats.org/officeDocument/2006/relationships/hyperlink" Target="https://pubmed.ncbi.nlm.nih.gov/23576617/" TargetMode="External"/><Relationship Id="rId37" Type="http://schemas.openxmlformats.org/officeDocument/2006/relationships/hyperlink" Target="https://pubmed.ncbi.nlm.nih.gov/22179319/" TargetMode="External"/><Relationship Id="rId40" Type="http://schemas.openxmlformats.org/officeDocument/2006/relationships/hyperlink" Target="https://pubmed.ncbi.nlm.nih.gov/21531339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pubmed.ncbi.nlm.nih.gov/37844630/" TargetMode="External"/><Relationship Id="rId15" Type="http://schemas.openxmlformats.org/officeDocument/2006/relationships/hyperlink" Target="https://pubmed.ncbi.nlm.nih.gov/34039988/" TargetMode="External"/><Relationship Id="rId23" Type="http://schemas.openxmlformats.org/officeDocument/2006/relationships/hyperlink" Target="https://pubmed.ncbi.nlm.nih.gov/26802467/" TargetMode="External"/><Relationship Id="rId28" Type="http://schemas.openxmlformats.org/officeDocument/2006/relationships/hyperlink" Target="https://pubmed.ncbi.nlm.nih.gov/24982613/" TargetMode="External"/><Relationship Id="rId36" Type="http://schemas.openxmlformats.org/officeDocument/2006/relationships/hyperlink" Target="https://pubmed.ncbi.nlm.nih.gov/22086915/" TargetMode="External"/><Relationship Id="rId10" Type="http://schemas.openxmlformats.org/officeDocument/2006/relationships/hyperlink" Target="https://pubmed.ncbi.nlm.nih.gov/36729662/" TargetMode="External"/><Relationship Id="rId19" Type="http://schemas.openxmlformats.org/officeDocument/2006/relationships/hyperlink" Target="https://pubmed.ncbi.nlm.nih.gov/31689372/" TargetMode="External"/><Relationship Id="rId31" Type="http://schemas.openxmlformats.org/officeDocument/2006/relationships/hyperlink" Target="https://pubmed.ncbi.nlm.nih.gov/23744740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7249575/" TargetMode="External"/><Relationship Id="rId14" Type="http://schemas.openxmlformats.org/officeDocument/2006/relationships/hyperlink" Target="https://pubmed.ncbi.nlm.nih.gov/35180388/" TargetMode="External"/><Relationship Id="rId22" Type="http://schemas.openxmlformats.org/officeDocument/2006/relationships/hyperlink" Target="https://pubmed.ncbi.nlm.nih.gov/27683310/" TargetMode="External"/><Relationship Id="rId27" Type="http://schemas.openxmlformats.org/officeDocument/2006/relationships/hyperlink" Target="https://pubmed.ncbi.nlm.nih.gov/25299635/" TargetMode="External"/><Relationship Id="rId30" Type="http://schemas.openxmlformats.org/officeDocument/2006/relationships/hyperlink" Target="https://pubmed.ncbi.nlm.nih.gov/23842676/" TargetMode="External"/><Relationship Id="rId35" Type="http://schemas.openxmlformats.org/officeDocument/2006/relationships/hyperlink" Target="https://pubmed.ncbi.nlm.nih.gov/22446882/" TargetMode="External"/><Relationship Id="rId43" Type="http://schemas.openxmlformats.org/officeDocument/2006/relationships/hyperlink" Target="https://pubmed.ncbi.nlm.nih.gov/19698707/" TargetMode="External"/><Relationship Id="rId8" Type="http://schemas.openxmlformats.org/officeDocument/2006/relationships/hyperlink" Target="https://pubmed.ncbi.nlm.nih.gov/3735849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ubmed.ncbi.nlm.nih.gov/35579659/" TargetMode="External"/><Relationship Id="rId17" Type="http://schemas.openxmlformats.org/officeDocument/2006/relationships/hyperlink" Target="https://pubmed.ncbi.nlm.nih.gov/32173924/" TargetMode="External"/><Relationship Id="rId25" Type="http://schemas.openxmlformats.org/officeDocument/2006/relationships/hyperlink" Target="https://pubmed.ncbi.nlm.nih.gov/26701603/" TargetMode="External"/><Relationship Id="rId33" Type="http://schemas.openxmlformats.org/officeDocument/2006/relationships/hyperlink" Target="https://pubmed.ncbi.nlm.nih.gov/23360481/" TargetMode="External"/><Relationship Id="rId38" Type="http://schemas.openxmlformats.org/officeDocument/2006/relationships/hyperlink" Target="https://pubmed.ncbi.nlm.nih.gov/21551073/" TargetMode="External"/><Relationship Id="rId20" Type="http://schemas.openxmlformats.org/officeDocument/2006/relationships/hyperlink" Target="https://pubmed.ncbi.nlm.nih.gov/29643356/" TargetMode="External"/><Relationship Id="rId41" Type="http://schemas.openxmlformats.org/officeDocument/2006/relationships/hyperlink" Target="https://pubmed.ncbi.nlm.nih.gov/2066076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Aja</dc:creator>
  <cp:keywords/>
  <dc:description/>
  <cp:lastModifiedBy>Susan Aja</cp:lastModifiedBy>
  <cp:revision>2</cp:revision>
  <dcterms:created xsi:type="dcterms:W3CDTF">2024-08-01T17:32:00Z</dcterms:created>
  <dcterms:modified xsi:type="dcterms:W3CDTF">2024-08-01T17:32:00Z</dcterms:modified>
</cp:coreProperties>
</file>